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FCF" w:rsidRPr="00933B35" w:rsidRDefault="00E73FCF" w:rsidP="00E73FCF">
      <w:pPr>
        <w:jc w:val="center"/>
        <w:rPr>
          <w:rFonts w:ascii="Times New Roman" w:hAnsi="Times New Roman" w:cs="Times New Roman"/>
          <w:b/>
          <w:sz w:val="24"/>
        </w:rPr>
      </w:pPr>
      <w:r w:rsidRPr="00933B35">
        <w:rPr>
          <w:rFonts w:ascii="Times New Roman" w:hAnsi="Times New Roman" w:cs="Times New Roman"/>
          <w:b/>
          <w:sz w:val="24"/>
        </w:rPr>
        <w:t xml:space="preserve">Montenegro </w:t>
      </w:r>
      <w:proofErr w:type="spellStart"/>
      <w:r w:rsidRPr="00933B35">
        <w:rPr>
          <w:rFonts w:ascii="Times New Roman" w:hAnsi="Times New Roman" w:cs="Times New Roman"/>
          <w:b/>
          <w:sz w:val="24"/>
        </w:rPr>
        <w:t>Pogress</w:t>
      </w:r>
      <w:proofErr w:type="spellEnd"/>
      <w:r w:rsidRPr="00933B35">
        <w:rPr>
          <w:rFonts w:ascii="Times New Roman" w:hAnsi="Times New Roman" w:cs="Times New Roman"/>
          <w:b/>
          <w:sz w:val="24"/>
        </w:rPr>
        <w:t xml:space="preserve"> Report 2021 </w:t>
      </w:r>
      <w:r w:rsidR="00D213D5">
        <w:rPr>
          <w:rFonts w:ascii="Times New Roman" w:hAnsi="Times New Roman" w:cs="Times New Roman"/>
          <w:b/>
          <w:sz w:val="24"/>
        </w:rPr>
        <w:t>-</w:t>
      </w:r>
      <w:bookmarkStart w:id="0" w:name="_GoBack"/>
      <w:bookmarkEnd w:id="0"/>
      <w:r w:rsidRPr="00933B35">
        <w:rPr>
          <w:rFonts w:ascii="Times New Roman" w:hAnsi="Times New Roman" w:cs="Times New Roman"/>
          <w:b/>
          <w:sz w:val="24"/>
        </w:rPr>
        <w:t xml:space="preserve"> Chapter 18: Statistics 2021</w:t>
      </w:r>
    </w:p>
    <w:p w:rsidR="00E73FCF" w:rsidRPr="00933B35" w:rsidRDefault="00CA4F59" w:rsidP="00E73FCF">
      <w:pPr>
        <w:jc w:val="both"/>
        <w:rPr>
          <w:rFonts w:ascii="Times New Roman" w:hAnsi="Times New Roman" w:cs="Times New Roman"/>
          <w:i/>
        </w:rPr>
      </w:pPr>
      <w:r w:rsidRPr="00933B35">
        <w:rPr>
          <w:rFonts w:ascii="Times New Roman" w:hAnsi="Times New Roman" w:cs="Times New Roman"/>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821690</wp:posOffset>
                </wp:positionV>
                <wp:extent cx="5924550" cy="3228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228975"/>
                        </a:xfrm>
                        <a:prstGeom prst="rect">
                          <a:avLst/>
                        </a:prstGeom>
                        <a:solidFill>
                          <a:schemeClr val="bg2"/>
                        </a:solidFill>
                        <a:ln w="9525">
                          <a:gradFill>
                            <a:gsLst>
                              <a:gs pos="100000">
                                <a:schemeClr val="tx1"/>
                              </a:gs>
                              <a:gs pos="100000">
                                <a:schemeClr val="accent1">
                                  <a:lumMod val="30000"/>
                                  <a:lumOff val="70000"/>
                                </a:schemeClr>
                              </a:gs>
                            </a:gsLst>
                            <a:lin ang="5400000" scaled="1"/>
                          </a:gradFill>
                          <a:miter lim="800000"/>
                          <a:headEnd/>
                          <a:tailEnd/>
                        </a:ln>
                      </wps:spPr>
                      <wps:txbx>
                        <w:txbxContent>
                          <w:p w:rsidR="00CA4F59" w:rsidRPr="00CA4F59" w:rsidRDefault="00CA4F59" w:rsidP="00CA4F59">
                            <w:pPr>
                              <w:jc w:val="both"/>
                              <w:rPr>
                                <w:rFonts w:cstheme="minorHAnsi"/>
                              </w:rPr>
                            </w:pPr>
                            <w:r w:rsidRPr="00CA4F59">
                              <w:rPr>
                                <w:rFonts w:cstheme="minorHAnsi"/>
                              </w:rPr>
                              <w:t xml:space="preserve">Montenegro is </w:t>
                            </w:r>
                            <w:r w:rsidRPr="00CA4F59">
                              <w:rPr>
                                <w:rFonts w:cstheme="minorHAnsi"/>
                                <w:b/>
                              </w:rPr>
                              <w:t>moderately prepared</w:t>
                            </w:r>
                            <w:r w:rsidRPr="00CA4F59">
                              <w:rPr>
                                <w:rFonts w:cstheme="minorHAnsi"/>
                              </w:rPr>
                              <w:t xml:space="preserve"> in the area of statistics. </w:t>
                            </w:r>
                            <w:r w:rsidRPr="00CA4F59">
                              <w:rPr>
                                <w:rFonts w:cstheme="minorHAnsi"/>
                                <w:b/>
                              </w:rPr>
                              <w:t>Some progress</w:t>
                            </w:r>
                            <w:r w:rsidRPr="00CA4F59">
                              <w:rPr>
                                <w:rFonts w:cstheme="minorHAnsi"/>
                              </w:rPr>
                              <w:t xml:space="preserve"> was made on last year’s recommendations. Work continued on </w:t>
                            </w:r>
                            <w:proofErr w:type="spellStart"/>
                            <w:r w:rsidRPr="00CA4F59">
                              <w:rPr>
                                <w:rFonts w:cstheme="minorHAnsi"/>
                              </w:rPr>
                              <w:t>harmonising</w:t>
                            </w:r>
                            <w:proofErr w:type="spellEnd"/>
                            <w:r w:rsidRPr="00CA4F59">
                              <w:rPr>
                                <w:rFonts w:cstheme="minorHAnsi"/>
                              </w:rPr>
                              <w:t xml:space="preserve"> the statistical methodology with EU standards and increasing transmission of data to Eurostat. However, pending issues remain with regard to insufficient financial and human resources of the Statistical office of Montenegro (</w:t>
                            </w:r>
                            <w:proofErr w:type="spellStart"/>
                            <w:r w:rsidRPr="00CA4F59">
                              <w:rPr>
                                <w:rFonts w:cstheme="minorHAnsi"/>
                              </w:rPr>
                              <w:t>Monstat</w:t>
                            </w:r>
                            <w:proofErr w:type="spellEnd"/>
                            <w:r w:rsidRPr="00CA4F59">
                              <w:rPr>
                                <w:rFonts w:cstheme="minorHAnsi"/>
                              </w:rPr>
                              <w:t xml:space="preserve">) and its lack of expertise in some areas such as government finance statistics, the need to improve systematic cooperation and coordination of tasks between the Ministry of Finance, the Central Bank of Montenegro and </w:t>
                            </w:r>
                            <w:proofErr w:type="spellStart"/>
                            <w:r w:rsidRPr="00CA4F59">
                              <w:rPr>
                                <w:rFonts w:cstheme="minorHAnsi"/>
                              </w:rPr>
                              <w:t>Monstat</w:t>
                            </w:r>
                            <w:proofErr w:type="spellEnd"/>
                            <w:r w:rsidRPr="00CA4F59">
                              <w:rPr>
                                <w:rFonts w:cstheme="minorHAnsi"/>
                              </w:rPr>
                              <w:t xml:space="preserve">, as well as the lack of transmission of some fundamental datasets such as government finance statistics, financial accounts and excessive deficit procedure tables. </w:t>
                            </w:r>
                          </w:p>
                          <w:p w:rsidR="00CA4F59" w:rsidRPr="00CA4F59" w:rsidRDefault="00CA4F59" w:rsidP="00CA4F59">
                            <w:pPr>
                              <w:jc w:val="both"/>
                              <w:rPr>
                                <w:rFonts w:cstheme="minorHAnsi"/>
                              </w:rPr>
                            </w:pPr>
                            <w:r w:rsidRPr="00CA4F59">
                              <w:rPr>
                                <w:rFonts w:cstheme="minorHAnsi"/>
                              </w:rPr>
                              <w:t>In the coming year, Montenegro should in particular:</w:t>
                            </w:r>
                          </w:p>
                          <w:p w:rsidR="00CA4F59" w:rsidRPr="00CA4F59" w:rsidRDefault="00CA4F59" w:rsidP="00CA4F59">
                            <w:pPr>
                              <w:jc w:val="both"/>
                              <w:rPr>
                                <w:rFonts w:cstheme="minorHAnsi"/>
                              </w:rPr>
                            </w:pPr>
                            <w:r w:rsidRPr="00CA4F59">
                              <w:t>→</w:t>
                            </w:r>
                            <w:r w:rsidRPr="00CA4F59">
                              <w:rPr>
                                <w:rFonts w:cstheme="minorHAnsi"/>
                              </w:rPr>
                              <w:t xml:space="preserve"> considerably strengthen the human and financial resources of </w:t>
                            </w:r>
                            <w:proofErr w:type="spellStart"/>
                            <w:r w:rsidRPr="00CA4F59">
                              <w:rPr>
                                <w:rFonts w:cstheme="minorHAnsi"/>
                              </w:rPr>
                              <w:t>Monstat</w:t>
                            </w:r>
                            <w:proofErr w:type="spellEnd"/>
                            <w:r w:rsidRPr="00CA4F59">
                              <w:rPr>
                                <w:rFonts w:cstheme="minorHAnsi"/>
                              </w:rPr>
                              <w:t xml:space="preserve"> so that it can fully fulfil its responsibilities and retain expert staff</w:t>
                            </w:r>
                          </w:p>
                          <w:p w:rsidR="00CA4F59" w:rsidRPr="00CA4F59" w:rsidRDefault="00CA4F59" w:rsidP="00CA4F59">
                            <w:pPr>
                              <w:jc w:val="both"/>
                              <w:rPr>
                                <w:rFonts w:cstheme="minorHAnsi"/>
                              </w:rPr>
                            </w:pPr>
                            <w:r w:rsidRPr="00CA4F59">
                              <w:t xml:space="preserve">→ </w:t>
                            </w:r>
                            <w:r w:rsidRPr="00CA4F59">
                              <w:rPr>
                                <w:rFonts w:cstheme="minorHAnsi"/>
                              </w:rPr>
                              <w:t>make significant progress in aligning with the European System of Accounts (ESA) 2010, including providing government finance statistical data and all available excessive deficit procedure data</w:t>
                            </w:r>
                          </w:p>
                          <w:p w:rsidR="00CA4F59" w:rsidRPr="00CA4F59" w:rsidRDefault="00CA4F59" w:rsidP="00CA4F59">
                            <w:pPr>
                              <w:jc w:val="both"/>
                              <w:rPr>
                                <w:rFonts w:cstheme="minorHAnsi"/>
                              </w:rPr>
                            </w:pPr>
                            <w:r w:rsidRPr="00CA4F59">
                              <w:t xml:space="preserve">→ </w:t>
                            </w:r>
                            <w:r w:rsidRPr="00CA4F59">
                              <w:rPr>
                                <w:rFonts w:cstheme="minorHAnsi"/>
                              </w:rPr>
                              <w:t xml:space="preserve">allocate sufficient resources for </w:t>
                            </w:r>
                            <w:proofErr w:type="spellStart"/>
                            <w:r w:rsidRPr="00CA4F59">
                              <w:rPr>
                                <w:rFonts w:cstheme="minorHAnsi"/>
                              </w:rPr>
                              <w:t>organising</w:t>
                            </w:r>
                            <w:proofErr w:type="spellEnd"/>
                            <w:r w:rsidRPr="00CA4F59">
                              <w:rPr>
                                <w:rFonts w:cstheme="minorHAnsi"/>
                              </w:rPr>
                              <w:t xml:space="preserve"> the national population and housing census and </w:t>
                            </w:r>
                            <w:proofErr w:type="spellStart"/>
                            <w:r w:rsidRPr="00CA4F59">
                              <w:rPr>
                                <w:rFonts w:cstheme="minorHAnsi"/>
                              </w:rPr>
                              <w:t>organise</w:t>
                            </w:r>
                            <w:proofErr w:type="spellEnd"/>
                            <w:r w:rsidRPr="00CA4F59">
                              <w:rPr>
                                <w:rFonts w:cstheme="minorHAnsi"/>
                              </w:rPr>
                              <w:t xml:space="preserve"> it in line with EU requirements and recommendations.</w:t>
                            </w:r>
                          </w:p>
                          <w:p w:rsidR="00CA4F59" w:rsidRDefault="00CA4F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3pt;margin-top:64.7pt;width:466.5pt;height:25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C5dQIAAAIFAAAOAAAAZHJzL2Uyb0RvYy54bWysVG1v2yAQ/j5p/wHxfXHixkti1am6dJ0m&#10;dS9Sux9AMI7RgGNAYne/fgc0abp9mab5gwXH8dzdc89xeTVqRQ7CeQmmobPJlBJhOLTS7Br67eH2&#10;zZISH5hpmQIjGvooPL1av351OdhalNCDaoUjCGJ8PdiG9iHYuig874VmfgJWGDzswGkWcOt2RevY&#10;gOhaFeV0+rYYwLXWARfeo/UmH9J1wu86wcOXrvMiENVQzC2kv0v/bfwX60tW7xyzveRPabB/yEIz&#10;aTDoCeqGBUb2Tv4BpSV34KELEw66gK6TXKQasJrZ9Ldq7ntmRaoFyfH2RJP/f7D88+GrI7JtaDlb&#10;UGKYxiY9iDGQdzCSMvIzWF+j271FxzCiGfucavX2Dvh3TwxsemZ24to5GHrBWsxvFm8WZ1czjo8g&#10;2+ETtBiG7QMkoLFzOpKHdBBExz49nnoTU+ForFblvKrwiOPZRVkuV4sqxWD18bp1PnwQoElcNNRh&#10;8xM8O9z5ENNh9dElRvOgZHsrlUqbKDixUY4cGEplu0ul440XXsqQoaGrqqwSMOrmBLDzGCQpwBML&#10;kYFp/DJRL8HDmNlBtfi/u8E4FyZk1tVeI305zYsUImkYzaj0bF4czTH/Y+xUfwyIxlOyShqCrUN6&#10;5/EO0us5UwLlcErxrEYtAw6rkrqhy+yeQseWvzdtWgcmVV5jGGWeNBDbngUQxu2IjlEYW2gfUQ0O&#10;8lDiI4KLHtxPSgYcyIb6H3vmBCXqo0E+V7P5PE5w2syrRYkbd36yPT9hhiNUQwPF+uJyE9LUR74N&#10;XKPyOpk08ZzJU644aJmj/CjEST7fJ6/np2v9CwAA//8DAFBLAwQUAAYACAAAACEAoAnVHN0AAAAI&#10;AQAADwAAAGRycy9kb3ducmV2LnhtbEyPwU7DMBBE70j8g7VI3KhNHaUkxKkqKEcOFKRydOIliRrb&#10;ke226d+znOhxZ0azb6r1bEd2whAH7xQ8LgQwdK03g+sUfH2+PTwBi0k7o0fvUMEFI6zr25tKl8af&#10;3QeedqljVOJiqRX0KU0l57Ht0eq48BM68n58sDrRGTpugj5TuR35UoicWz04+tDrCV96bA+7o1Ww&#10;PYj96vIu93k2crkJ4nv72mRK3d/Nm2dgCef0H4Y/fEKHmpgaf3QmslEBDUmkLosMGNmFlKQ0CnK5&#10;KoDXFb8eUP8CAAD//wMAUEsBAi0AFAAGAAgAAAAhALaDOJL+AAAA4QEAABMAAAAAAAAAAAAAAAAA&#10;AAAAAFtDb250ZW50X1R5cGVzXS54bWxQSwECLQAUAAYACAAAACEAOP0h/9YAAACUAQAACwAAAAAA&#10;AAAAAAAAAAAvAQAAX3JlbHMvLnJlbHNQSwECLQAUAAYACAAAACEADubguXUCAAACBQAADgAAAAAA&#10;AAAAAAAAAAAuAgAAZHJzL2Uyb0RvYy54bWxQSwECLQAUAAYACAAAACEAoAnVHN0AAAAIAQAADwAA&#10;AAAAAAAAAAAAAADPBAAAZHJzL2Rvd25yZXYueG1sUEsFBgAAAAAEAAQA8wAAANkFAAAAAA==&#10;" fillcolor="#e7e6e6 [3214]">
                <v:textbox>
                  <w:txbxContent>
                    <w:p w:rsidR="00CA4F59" w:rsidRPr="00CA4F59" w:rsidRDefault="00CA4F59" w:rsidP="00CA4F59">
                      <w:pPr>
                        <w:jc w:val="both"/>
                        <w:rPr>
                          <w:rFonts w:cstheme="minorHAnsi"/>
                        </w:rPr>
                      </w:pPr>
                      <w:r w:rsidRPr="00CA4F59">
                        <w:rPr>
                          <w:rFonts w:cstheme="minorHAnsi"/>
                        </w:rPr>
                        <w:t xml:space="preserve">Montenegro is </w:t>
                      </w:r>
                      <w:r w:rsidRPr="00CA4F59">
                        <w:rPr>
                          <w:rFonts w:cstheme="minorHAnsi"/>
                          <w:b/>
                        </w:rPr>
                        <w:t>moderately prepared</w:t>
                      </w:r>
                      <w:r w:rsidRPr="00CA4F59">
                        <w:rPr>
                          <w:rFonts w:cstheme="minorHAnsi"/>
                        </w:rPr>
                        <w:t xml:space="preserve"> in the area of statistics. </w:t>
                      </w:r>
                      <w:r w:rsidRPr="00CA4F59">
                        <w:rPr>
                          <w:rFonts w:cstheme="minorHAnsi"/>
                          <w:b/>
                        </w:rPr>
                        <w:t>Some progress</w:t>
                      </w:r>
                      <w:r w:rsidRPr="00CA4F59">
                        <w:rPr>
                          <w:rFonts w:cstheme="minorHAnsi"/>
                        </w:rPr>
                        <w:t xml:space="preserve"> was made on last year’s recommendations. Work continued on </w:t>
                      </w:r>
                      <w:proofErr w:type="spellStart"/>
                      <w:r w:rsidRPr="00CA4F59">
                        <w:rPr>
                          <w:rFonts w:cstheme="minorHAnsi"/>
                        </w:rPr>
                        <w:t>harmonising</w:t>
                      </w:r>
                      <w:proofErr w:type="spellEnd"/>
                      <w:r w:rsidRPr="00CA4F59">
                        <w:rPr>
                          <w:rFonts w:cstheme="minorHAnsi"/>
                        </w:rPr>
                        <w:t xml:space="preserve"> the statistical methodology with EU standards and increasing transmission of data to Eurostat. However, pending issues remain with regard to insufficient financial and human resources of the Statistical office of Montenegro (</w:t>
                      </w:r>
                      <w:proofErr w:type="spellStart"/>
                      <w:r w:rsidRPr="00CA4F59">
                        <w:rPr>
                          <w:rFonts w:cstheme="minorHAnsi"/>
                        </w:rPr>
                        <w:t>Monstat</w:t>
                      </w:r>
                      <w:proofErr w:type="spellEnd"/>
                      <w:r w:rsidRPr="00CA4F59">
                        <w:rPr>
                          <w:rFonts w:cstheme="minorHAnsi"/>
                        </w:rPr>
                        <w:t xml:space="preserve">) and its lack of expertise in some areas such as government finance statistics, the need to improve systematic cooperation and coordination of tasks between the Ministry of Finance, the Central Bank of Montenegro and </w:t>
                      </w:r>
                      <w:proofErr w:type="spellStart"/>
                      <w:r w:rsidRPr="00CA4F59">
                        <w:rPr>
                          <w:rFonts w:cstheme="minorHAnsi"/>
                        </w:rPr>
                        <w:t>Monstat</w:t>
                      </w:r>
                      <w:proofErr w:type="spellEnd"/>
                      <w:r w:rsidRPr="00CA4F59">
                        <w:rPr>
                          <w:rFonts w:cstheme="minorHAnsi"/>
                        </w:rPr>
                        <w:t xml:space="preserve">, as well as the lack of transmission of some fundamental datasets such as government finance statistics, financial accounts and excessive deficit procedure tables. </w:t>
                      </w:r>
                    </w:p>
                    <w:p w:rsidR="00CA4F59" w:rsidRPr="00CA4F59" w:rsidRDefault="00CA4F59" w:rsidP="00CA4F59">
                      <w:pPr>
                        <w:jc w:val="both"/>
                        <w:rPr>
                          <w:rFonts w:cstheme="minorHAnsi"/>
                        </w:rPr>
                      </w:pPr>
                      <w:r w:rsidRPr="00CA4F59">
                        <w:rPr>
                          <w:rFonts w:cstheme="minorHAnsi"/>
                        </w:rPr>
                        <w:t>In the coming year, Montenegro should in particular:</w:t>
                      </w:r>
                    </w:p>
                    <w:p w:rsidR="00CA4F59" w:rsidRPr="00CA4F59" w:rsidRDefault="00CA4F59" w:rsidP="00CA4F59">
                      <w:pPr>
                        <w:jc w:val="both"/>
                        <w:rPr>
                          <w:rFonts w:cstheme="minorHAnsi"/>
                        </w:rPr>
                      </w:pPr>
                      <w:r w:rsidRPr="00CA4F59">
                        <w:t>→</w:t>
                      </w:r>
                      <w:r w:rsidRPr="00CA4F59">
                        <w:rPr>
                          <w:rFonts w:cstheme="minorHAnsi"/>
                        </w:rPr>
                        <w:t xml:space="preserve"> considerably strengthen the human and financial resources of </w:t>
                      </w:r>
                      <w:proofErr w:type="spellStart"/>
                      <w:r w:rsidRPr="00CA4F59">
                        <w:rPr>
                          <w:rFonts w:cstheme="minorHAnsi"/>
                        </w:rPr>
                        <w:t>Monstat</w:t>
                      </w:r>
                      <w:proofErr w:type="spellEnd"/>
                      <w:r w:rsidRPr="00CA4F59">
                        <w:rPr>
                          <w:rFonts w:cstheme="minorHAnsi"/>
                        </w:rPr>
                        <w:t xml:space="preserve"> so that it can fully fulfil its responsibilities and retain expert staff</w:t>
                      </w:r>
                    </w:p>
                    <w:p w:rsidR="00CA4F59" w:rsidRPr="00CA4F59" w:rsidRDefault="00CA4F59" w:rsidP="00CA4F59">
                      <w:pPr>
                        <w:jc w:val="both"/>
                        <w:rPr>
                          <w:rFonts w:cstheme="minorHAnsi"/>
                        </w:rPr>
                      </w:pPr>
                      <w:r w:rsidRPr="00CA4F59">
                        <w:t xml:space="preserve">→ </w:t>
                      </w:r>
                      <w:r w:rsidRPr="00CA4F59">
                        <w:rPr>
                          <w:rFonts w:cstheme="minorHAnsi"/>
                        </w:rPr>
                        <w:t>make significant progress in aligning with the European System of Accounts (ESA) 2010, including providing government finance statistical data and all available excessive deficit procedure data</w:t>
                      </w:r>
                    </w:p>
                    <w:p w:rsidR="00CA4F59" w:rsidRPr="00CA4F59" w:rsidRDefault="00CA4F59" w:rsidP="00CA4F59">
                      <w:pPr>
                        <w:jc w:val="both"/>
                        <w:rPr>
                          <w:rFonts w:cstheme="minorHAnsi"/>
                        </w:rPr>
                      </w:pPr>
                      <w:r w:rsidRPr="00CA4F59">
                        <w:t xml:space="preserve">→ </w:t>
                      </w:r>
                      <w:r w:rsidRPr="00CA4F59">
                        <w:rPr>
                          <w:rFonts w:cstheme="minorHAnsi"/>
                        </w:rPr>
                        <w:t xml:space="preserve">allocate sufficient resources for </w:t>
                      </w:r>
                      <w:proofErr w:type="spellStart"/>
                      <w:r w:rsidRPr="00CA4F59">
                        <w:rPr>
                          <w:rFonts w:cstheme="minorHAnsi"/>
                        </w:rPr>
                        <w:t>organising</w:t>
                      </w:r>
                      <w:proofErr w:type="spellEnd"/>
                      <w:r w:rsidRPr="00CA4F59">
                        <w:rPr>
                          <w:rFonts w:cstheme="minorHAnsi"/>
                        </w:rPr>
                        <w:t xml:space="preserve"> the national population and housing census and </w:t>
                      </w:r>
                      <w:proofErr w:type="spellStart"/>
                      <w:r w:rsidRPr="00CA4F59">
                        <w:rPr>
                          <w:rFonts w:cstheme="minorHAnsi"/>
                        </w:rPr>
                        <w:t>organise</w:t>
                      </w:r>
                      <w:proofErr w:type="spellEnd"/>
                      <w:r w:rsidRPr="00CA4F59">
                        <w:rPr>
                          <w:rFonts w:cstheme="minorHAnsi"/>
                        </w:rPr>
                        <w:t xml:space="preserve"> it in line with EU requirements and recommendations.</w:t>
                      </w:r>
                    </w:p>
                    <w:p w:rsidR="00CA4F59" w:rsidRDefault="00CA4F59"/>
                  </w:txbxContent>
                </v:textbox>
                <w10:wrap type="square" anchorx="margin"/>
              </v:shape>
            </w:pict>
          </mc:Fallback>
        </mc:AlternateContent>
      </w:r>
      <w:r w:rsidR="00E73FCF" w:rsidRPr="00933B35">
        <w:rPr>
          <w:rFonts w:ascii="Times New Roman" w:hAnsi="Times New Roman" w:cs="Times New Roman"/>
          <w:i/>
        </w:rPr>
        <w:t xml:space="preserve">EU rules require that Member States are able to produce good quality statistics in line with the principles of the European statistics Code of Practice and based on professional independence, impartiality, reliability, transparency, and confidentiality. Common rules are provided for the methodology, production and dissemination of statistical information.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On the </w:t>
      </w:r>
      <w:r w:rsidRPr="00933B35">
        <w:rPr>
          <w:rFonts w:ascii="Times New Roman" w:hAnsi="Times New Roman" w:cs="Times New Roman"/>
          <w:b/>
        </w:rPr>
        <w:t>statistical infrastructure</w:t>
      </w:r>
      <w:r w:rsidRPr="00933B35">
        <w:rPr>
          <w:rFonts w:ascii="Times New Roman" w:hAnsi="Times New Roman" w:cs="Times New Roman"/>
        </w:rPr>
        <w:t xml:space="preserve">, </w:t>
      </w:r>
      <w:proofErr w:type="spellStart"/>
      <w:r w:rsidRPr="00933B35">
        <w:rPr>
          <w:rFonts w:ascii="Times New Roman" w:hAnsi="Times New Roman" w:cs="Times New Roman"/>
        </w:rPr>
        <w:t>Monstat</w:t>
      </w:r>
      <w:proofErr w:type="spellEnd"/>
      <w:r w:rsidRPr="00933B35">
        <w:rPr>
          <w:rFonts w:ascii="Times New Roman" w:hAnsi="Times New Roman" w:cs="Times New Roman"/>
        </w:rPr>
        <w:t xml:space="preserve"> is the main producer and overall coordinator of statistics. Respect of the professional independence of </w:t>
      </w:r>
      <w:proofErr w:type="spellStart"/>
      <w:r w:rsidRPr="00933B35">
        <w:rPr>
          <w:rFonts w:ascii="Times New Roman" w:hAnsi="Times New Roman" w:cs="Times New Roman"/>
        </w:rPr>
        <w:t>Monstat</w:t>
      </w:r>
      <w:proofErr w:type="spellEnd"/>
      <w:r w:rsidRPr="00933B35">
        <w:rPr>
          <w:rFonts w:ascii="Times New Roman" w:hAnsi="Times New Roman" w:cs="Times New Roman"/>
        </w:rPr>
        <w:t xml:space="preserve">, in line with the Montenegrin law, as well as of Montenegro’s commitment to political non-interference in official statistics (in line with the signed Commitment on Confidence), are of the utmost importance. Full adherence to those principles and laws, as well as to the European Statistics Code of Practice, is expected in regard to the management of </w:t>
      </w:r>
      <w:proofErr w:type="spellStart"/>
      <w:r w:rsidRPr="00933B35">
        <w:rPr>
          <w:rFonts w:ascii="Times New Roman" w:hAnsi="Times New Roman" w:cs="Times New Roman"/>
        </w:rPr>
        <w:t>Monstat</w:t>
      </w:r>
      <w:proofErr w:type="spellEnd"/>
      <w:r w:rsidRPr="00933B35">
        <w:rPr>
          <w:rFonts w:ascii="Times New Roman" w:hAnsi="Times New Roman" w:cs="Times New Roman"/>
        </w:rPr>
        <w:t xml:space="preserve">. The current number of employees in </w:t>
      </w:r>
      <w:proofErr w:type="spellStart"/>
      <w:r w:rsidRPr="00933B35">
        <w:rPr>
          <w:rFonts w:ascii="Times New Roman" w:hAnsi="Times New Roman" w:cs="Times New Roman"/>
        </w:rPr>
        <w:t>Monstat</w:t>
      </w:r>
      <w:proofErr w:type="spellEnd"/>
      <w:r w:rsidRPr="00933B35">
        <w:rPr>
          <w:rFonts w:ascii="Times New Roman" w:hAnsi="Times New Roman" w:cs="Times New Roman"/>
        </w:rPr>
        <w:t xml:space="preserve"> is slightly above 50% of the number of posts on the </w:t>
      </w:r>
      <w:proofErr w:type="spellStart"/>
      <w:r w:rsidRPr="00933B35">
        <w:rPr>
          <w:rFonts w:ascii="Times New Roman" w:hAnsi="Times New Roman" w:cs="Times New Roman"/>
        </w:rPr>
        <w:t>organisation</w:t>
      </w:r>
      <w:proofErr w:type="spellEnd"/>
      <w:r w:rsidRPr="00933B35">
        <w:rPr>
          <w:rFonts w:ascii="Times New Roman" w:hAnsi="Times New Roman" w:cs="Times New Roman"/>
        </w:rPr>
        <w:t xml:space="preserve"> chart (97 out of 169) A new building to host the Statistical office has still not been provided, although the public procurement for the building was </w:t>
      </w:r>
      <w:proofErr w:type="spellStart"/>
      <w:r w:rsidRPr="00933B35">
        <w:rPr>
          <w:rFonts w:ascii="Times New Roman" w:hAnsi="Times New Roman" w:cs="Times New Roman"/>
        </w:rPr>
        <w:t>finalised</w:t>
      </w:r>
      <w:proofErr w:type="spellEnd"/>
      <w:r w:rsidRPr="00933B35">
        <w:rPr>
          <w:rFonts w:ascii="Times New Roman" w:hAnsi="Times New Roman" w:cs="Times New Roman"/>
        </w:rPr>
        <w:t xml:space="preserve"> in 2020.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In the context of the COVID-19 pandemic, </w:t>
      </w:r>
      <w:proofErr w:type="spellStart"/>
      <w:r w:rsidRPr="00933B35">
        <w:rPr>
          <w:rFonts w:ascii="Times New Roman" w:hAnsi="Times New Roman" w:cs="Times New Roman"/>
        </w:rPr>
        <w:t>Monstat</w:t>
      </w:r>
      <w:proofErr w:type="spellEnd"/>
      <w:r w:rsidRPr="00933B35">
        <w:rPr>
          <w:rFonts w:ascii="Times New Roman" w:hAnsi="Times New Roman" w:cs="Times New Roman"/>
        </w:rPr>
        <w:t xml:space="preserve"> opened the COVID-19 internet domain, containing relevant information, and created a list of 60 indicators that are of special relevance as regards monitoring the COVID-19 crisis and its consequences.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On </w:t>
      </w:r>
      <w:r w:rsidRPr="00933B35">
        <w:rPr>
          <w:rFonts w:ascii="Times New Roman" w:hAnsi="Times New Roman" w:cs="Times New Roman"/>
          <w:b/>
        </w:rPr>
        <w:t>classifications and registers</w:t>
      </w:r>
      <w:r w:rsidRPr="00933B35">
        <w:rPr>
          <w:rFonts w:ascii="Times New Roman" w:hAnsi="Times New Roman" w:cs="Times New Roman"/>
        </w:rPr>
        <w:t xml:space="preserve">, there is high compliance in terms of implementation of the current versions of the NACE (Nomenclature of Economic Activities), CPA (Classification of products by activity), ISCO (International standard classification of occupations) and ISCED (International standard classification of education) classifications, and in terms of data transmission standards. In the area of business registers, Montenegro is highly compliant, even though it needs to improve the quality of the register.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In the area of </w:t>
      </w:r>
      <w:r w:rsidRPr="00933B35">
        <w:rPr>
          <w:rFonts w:ascii="Times New Roman" w:hAnsi="Times New Roman" w:cs="Times New Roman"/>
          <w:b/>
        </w:rPr>
        <w:t>macroeconomic statistics</w:t>
      </w:r>
      <w:r w:rsidRPr="00933B35">
        <w:rPr>
          <w:rFonts w:ascii="Times New Roman" w:hAnsi="Times New Roman" w:cs="Times New Roman"/>
        </w:rPr>
        <w:t xml:space="preserve">, the data series for annual Gross Domestic Product (GDP) 2006-2019, Gross National Income (GNI) 2010-2019 as well as quarterly GDP data up to the fourth quarter 2020 are available in accordance with ESA 2010 methodology. However, it is necessary to update and extend </w:t>
      </w:r>
      <w:r w:rsidRPr="00933B35">
        <w:rPr>
          <w:rFonts w:ascii="Times New Roman" w:hAnsi="Times New Roman" w:cs="Times New Roman"/>
        </w:rPr>
        <w:lastRenderedPageBreak/>
        <w:t xml:space="preserve">the GNI inventory and to provide full GDP quarterly data by production, expenditure and income, as well as quarterly data in seasonally adjusted form. Experimental data for 2019 about the number of employees and salaries of employees (according to national accounts concepts) were transmitted to Eurostat. With regard to price statistics, the </w:t>
      </w:r>
      <w:proofErr w:type="spellStart"/>
      <w:r w:rsidRPr="00933B35">
        <w:rPr>
          <w:rFonts w:ascii="Times New Roman" w:hAnsi="Times New Roman" w:cs="Times New Roman"/>
        </w:rPr>
        <w:t>harmonised</w:t>
      </w:r>
      <w:proofErr w:type="spellEnd"/>
      <w:r w:rsidRPr="00933B35">
        <w:rPr>
          <w:rFonts w:ascii="Times New Roman" w:hAnsi="Times New Roman" w:cs="Times New Roman"/>
        </w:rPr>
        <w:t xml:space="preserve"> index of consumer prices and purchasing power parity working methodologies (HICP/PPP inventory) have been updated and submitted to Eurostat. All mandatory and optional data elements of international trade in goods statistics (ITGS) are provided on time. As regards implementation of the new transmission format for ITGS, Montenegro did not yet provide any test data. Full alignment with the new transmission format was postponed to 2021.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There continues to be no government finance statistics sent to Eurostat. As regards excessive deficit procedure data, tables are still sent mostly empty. The Ministry of Finance and </w:t>
      </w:r>
      <w:proofErr w:type="spellStart"/>
      <w:r w:rsidRPr="00933B35">
        <w:rPr>
          <w:rFonts w:ascii="Times New Roman" w:hAnsi="Times New Roman" w:cs="Times New Roman"/>
        </w:rPr>
        <w:t>Monstat</w:t>
      </w:r>
      <w:proofErr w:type="spellEnd"/>
      <w:r w:rsidRPr="00933B35">
        <w:rPr>
          <w:rFonts w:ascii="Times New Roman" w:hAnsi="Times New Roman" w:cs="Times New Roman"/>
        </w:rPr>
        <w:t xml:space="preserve"> need to agree on the way forward, the division of activities, and both of them need to have the required human resources.</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In the area of </w:t>
      </w:r>
      <w:r w:rsidRPr="00933B35">
        <w:rPr>
          <w:rFonts w:ascii="Times New Roman" w:hAnsi="Times New Roman" w:cs="Times New Roman"/>
          <w:b/>
        </w:rPr>
        <w:t>business statistics</w:t>
      </w:r>
      <w:r w:rsidRPr="00933B35">
        <w:rPr>
          <w:rFonts w:ascii="Times New Roman" w:hAnsi="Times New Roman" w:cs="Times New Roman"/>
        </w:rPr>
        <w:t xml:space="preserve">, Montenegro provides good quality road freight data on a regular basis in line with the EU acquis requirements. In the area of short-term business statistics, transmission is timely and time series length satisfactory, with the main 64 shortcomings being in the services and industry sectors. Structural business statistics are medium compliant, while business demography statistics are currently not sent to Eurostat.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In the area of </w:t>
      </w:r>
      <w:r w:rsidRPr="00933B35">
        <w:rPr>
          <w:rFonts w:ascii="Times New Roman" w:hAnsi="Times New Roman" w:cs="Times New Roman"/>
          <w:b/>
        </w:rPr>
        <w:t>social statistics</w:t>
      </w:r>
      <w:r w:rsidRPr="00933B35">
        <w:rPr>
          <w:rFonts w:ascii="Times New Roman" w:hAnsi="Times New Roman" w:cs="Times New Roman"/>
        </w:rPr>
        <w:t xml:space="preserve">, a draft law on census of population, households and dwellings in 2021 is under preparation and pending adoption. The conduct of the national census upon schedule in 2021 faces several challenges, including the delayed adoption of the draft law, the effective budget allocation, the epidemiological situation in Montenegro as well as timely input from other institutions. The data of the </w:t>
      </w:r>
      <w:proofErr w:type="spellStart"/>
      <w:r w:rsidRPr="00933B35">
        <w:rPr>
          <w:rFonts w:ascii="Times New Roman" w:hAnsi="Times New Roman" w:cs="Times New Roman"/>
        </w:rPr>
        <w:t>Labour</w:t>
      </w:r>
      <w:proofErr w:type="spellEnd"/>
      <w:r w:rsidRPr="00933B35">
        <w:rPr>
          <w:rFonts w:ascii="Times New Roman" w:hAnsi="Times New Roman" w:cs="Times New Roman"/>
        </w:rPr>
        <w:t xml:space="preserve"> Force Survey (LFS) for the fourth quarter 2019 - third quarter 2020 was published, including data enabling the analysis of the impact of COVID-19 on the </w:t>
      </w:r>
      <w:proofErr w:type="spellStart"/>
      <w:r w:rsidRPr="00933B35">
        <w:rPr>
          <w:rFonts w:ascii="Times New Roman" w:hAnsi="Times New Roman" w:cs="Times New Roman"/>
        </w:rPr>
        <w:t>labour</w:t>
      </w:r>
      <w:proofErr w:type="spellEnd"/>
      <w:r w:rsidRPr="00933B35">
        <w:rPr>
          <w:rFonts w:ascii="Times New Roman" w:hAnsi="Times New Roman" w:cs="Times New Roman"/>
        </w:rPr>
        <w:t xml:space="preserve"> market.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In the area of </w:t>
      </w:r>
      <w:r w:rsidRPr="00933B35">
        <w:rPr>
          <w:rFonts w:ascii="Times New Roman" w:hAnsi="Times New Roman" w:cs="Times New Roman"/>
          <w:b/>
        </w:rPr>
        <w:t>agricultural statistics</w:t>
      </w:r>
      <w:r w:rsidRPr="00933B35">
        <w:rPr>
          <w:rFonts w:ascii="Times New Roman" w:hAnsi="Times New Roman" w:cs="Times New Roman"/>
        </w:rPr>
        <w:t xml:space="preserve">, in 2020, for the first time, Computer-Assisted Personal Interviewing (CAPI) method of data collection was applied for crop production for five municipalities, and additional questions were included to report on climate change. In order to prepare for the upcoming agricultural census, a development plan for improvement of agricultural statistics for the period 2020-2023 was prepared, as well as the self-assessment of agricultural statistics, outlining all activities needed to be accomplished before the agricultural census.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In the area of </w:t>
      </w:r>
      <w:r w:rsidRPr="00933B35">
        <w:rPr>
          <w:rFonts w:ascii="Times New Roman" w:hAnsi="Times New Roman" w:cs="Times New Roman"/>
          <w:b/>
        </w:rPr>
        <w:t>environmental statistics</w:t>
      </w:r>
      <w:r w:rsidRPr="00933B35">
        <w:rPr>
          <w:rFonts w:ascii="Times New Roman" w:hAnsi="Times New Roman" w:cs="Times New Roman"/>
        </w:rPr>
        <w:t xml:space="preserve">, Montenegro is highly compliant with EU standards in waste statistics. However, it does not report waste-related data according to other reporting obligations, such as data about packaging waste, which is increasingly important as the basis for a new EU budget own resource on non-recycled plastic packaging waste. Environmental accounts are not in compliance with the EU requirements. In 2020, Montenegro conducted a major revision of data for forestry statistics for the period of 1990-2018 and published them, thus enabling the development of production account in forestry in accordance with the EU acquis. An experimental system for calculation of the production account in forestry was partly set up. </w:t>
      </w:r>
    </w:p>
    <w:p w:rsidR="00E73FCF" w:rsidRPr="00933B35" w:rsidRDefault="00E73FCF" w:rsidP="00E73FCF">
      <w:pPr>
        <w:jc w:val="both"/>
        <w:rPr>
          <w:rFonts w:ascii="Times New Roman" w:hAnsi="Times New Roman" w:cs="Times New Roman"/>
        </w:rPr>
      </w:pPr>
      <w:r w:rsidRPr="00933B35">
        <w:rPr>
          <w:rFonts w:ascii="Times New Roman" w:hAnsi="Times New Roman" w:cs="Times New Roman"/>
        </w:rPr>
        <w:t xml:space="preserve">Structural annual </w:t>
      </w:r>
      <w:r w:rsidRPr="00933B35">
        <w:rPr>
          <w:rFonts w:ascii="Times New Roman" w:hAnsi="Times New Roman" w:cs="Times New Roman"/>
          <w:b/>
        </w:rPr>
        <w:t>energy statistics</w:t>
      </w:r>
      <w:r w:rsidRPr="00933B35">
        <w:rPr>
          <w:rFonts w:ascii="Times New Roman" w:hAnsi="Times New Roman" w:cs="Times New Roman"/>
        </w:rPr>
        <w:t xml:space="preserve"> as well as six-monthly price statistics are fully in line with EU legislation. The energy balance covers all relevant energy produced and consumed in Montenegro. Data sets for annual energy statistics and price statistics, as well as additional reporting in the SHARES tool (renewable energy sources) are regularly transmitted to Eurostat. However, improvement is needed on monthly reporting, as monthly energy statistics for oil, coal and electricity are currently not provided to Eurostat.</w:t>
      </w:r>
    </w:p>
    <w:p w:rsidR="00425D66" w:rsidRDefault="00425D66"/>
    <w:sectPr w:rsidR="00425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CF"/>
    <w:rsid w:val="00425D66"/>
    <w:rsid w:val="00933B35"/>
    <w:rsid w:val="00CA4F59"/>
    <w:rsid w:val="00D213D5"/>
    <w:rsid w:val="00DC55C0"/>
    <w:rsid w:val="00E7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1AC7"/>
  <w15:chartTrackingRefBased/>
  <w15:docId w15:val="{A2B788B3-F9E4-4225-97A9-71F6F1E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Blazevic</dc:creator>
  <cp:keywords/>
  <dc:description/>
  <cp:lastModifiedBy>Marija Blazevic</cp:lastModifiedBy>
  <cp:revision>4</cp:revision>
  <dcterms:created xsi:type="dcterms:W3CDTF">2025-12-04T07:47:00Z</dcterms:created>
  <dcterms:modified xsi:type="dcterms:W3CDTF">2025-12-04T13:06:00Z</dcterms:modified>
</cp:coreProperties>
</file>